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749" w:rsidRDefault="00357749" w:rsidP="00357749">
      <w:pPr>
        <w:pStyle w:val="Overskrift1"/>
      </w:pPr>
      <w:bookmarkStart w:id="0" w:name="_Toc181095913"/>
      <w:r>
        <w:t>Kontanthjælpsreform</w:t>
      </w:r>
      <w:bookmarkEnd w:id="0"/>
      <w:r>
        <w:t xml:space="preserve"> – nye ydelsestyper</w:t>
      </w:r>
    </w:p>
    <w:p w:rsidR="00357749" w:rsidRDefault="00357749" w:rsidP="00357749">
      <w:pPr>
        <w:pStyle w:val="Overskrift2"/>
      </w:pPr>
      <w:bookmarkStart w:id="1" w:name="_Toc181095914"/>
      <w:r>
        <w:t>Satser (2024-tal)</w:t>
      </w:r>
    </w:p>
    <w:p w:rsidR="00357749" w:rsidRPr="001F70B6" w:rsidRDefault="00357749" w:rsidP="00357749">
      <w:pPr>
        <w:pStyle w:val="Overskrift3"/>
      </w:pPr>
      <w:r w:rsidRPr="001F70B6">
        <w:t>Forhøjet sats</w:t>
      </w:r>
      <w:bookmarkEnd w:id="1"/>
    </w:p>
    <w:p w:rsidR="001F70B6" w:rsidRPr="001F70B6" w:rsidRDefault="00357749" w:rsidP="00BF75CC">
      <w:r w:rsidRPr="00BF75CC">
        <w:t>Satsen gives til personer over 30 år og til personer over 25 år, der opfylder opholds- og beskæftigelseskravet.</w:t>
      </w:r>
      <w:r w:rsidR="001F70B6" w:rsidRPr="001F70B6">
        <w:t xml:space="preserve"> </w:t>
      </w:r>
    </w:p>
    <w:p w:rsidR="00357749" w:rsidRPr="001F70B6" w:rsidRDefault="001F70B6" w:rsidP="001F70B6">
      <w:r w:rsidRPr="001F70B6">
        <w:t>F</w:t>
      </w:r>
      <w:r w:rsidR="00357749" w:rsidRPr="001F70B6">
        <w:t>orhøjet sats udgør kr. 12.064,- pr. måned.</w:t>
      </w:r>
    </w:p>
    <w:p w:rsidR="00357749" w:rsidRDefault="00357749" w:rsidP="00357749">
      <w:pPr>
        <w:pStyle w:val="Overskrift3"/>
      </w:pPr>
      <w:bookmarkStart w:id="2" w:name="_Toc181095915"/>
      <w:r w:rsidRPr="001F70B6">
        <w:t>Grundsats</w:t>
      </w:r>
      <w:bookmarkEnd w:id="2"/>
    </w:p>
    <w:p w:rsidR="00357749" w:rsidRDefault="00357749" w:rsidP="00357749">
      <w:r>
        <w:t xml:space="preserve">Grundsatsen til unge under 30 år udgør </w:t>
      </w:r>
    </w:p>
    <w:p w:rsidR="00357749" w:rsidRDefault="00357749" w:rsidP="00357749">
      <w:pPr>
        <w:pStyle w:val="Listeafsnit"/>
        <w:numPr>
          <w:ilvl w:val="0"/>
          <w:numId w:val="5"/>
        </w:numPr>
      </w:pPr>
      <w:r>
        <w:t xml:space="preserve">Kr. 6.955,- pr. måned for udeboende </w:t>
      </w:r>
    </w:p>
    <w:p w:rsidR="00357749" w:rsidRDefault="00357749" w:rsidP="00357749">
      <w:pPr>
        <w:pStyle w:val="Listeafsnit"/>
        <w:numPr>
          <w:ilvl w:val="0"/>
          <w:numId w:val="5"/>
        </w:numPr>
      </w:pPr>
      <w:r>
        <w:t>Kr. 2.823,- pr. måned for hjemmeboende</w:t>
      </w:r>
    </w:p>
    <w:p w:rsidR="00357749" w:rsidRDefault="00357749" w:rsidP="00357749">
      <w:pPr>
        <w:pStyle w:val="Overskrift3"/>
      </w:pPr>
      <w:bookmarkStart w:id="3" w:name="_Toc181095916"/>
      <w:r>
        <w:t>Mindstesats</w:t>
      </w:r>
      <w:bookmarkEnd w:id="3"/>
    </w:p>
    <w:p w:rsidR="00357749" w:rsidRDefault="00357749" w:rsidP="00357749">
      <w:r w:rsidRPr="00A942DA">
        <w:t>Mindstesats</w:t>
      </w:r>
      <w:r>
        <w:t>en</w:t>
      </w:r>
      <w:r w:rsidRPr="00A942DA">
        <w:t xml:space="preserve"> er for personer</w:t>
      </w:r>
      <w:r>
        <w:t>,</w:t>
      </w:r>
      <w:r w:rsidRPr="00A942DA">
        <w:t xml:space="preserve"> som ikke opfylder opholds- og beskæftigelseskravet. S</w:t>
      </w:r>
      <w:r>
        <w:t>atsen s</w:t>
      </w:r>
      <w:r w:rsidRPr="00A942DA">
        <w:t xml:space="preserve">varer til den nuværende </w:t>
      </w:r>
      <w:r>
        <w:t>selvforsørgelses- og hjemrejseydelse samt overgangsydelse</w:t>
      </w:r>
      <w:r w:rsidRPr="00A942DA">
        <w:t>.</w:t>
      </w:r>
    </w:p>
    <w:p w:rsidR="00357749" w:rsidRPr="00A942DA" w:rsidRDefault="00357749" w:rsidP="00357749">
      <w:r>
        <w:t>Mindstesatsen udgør kr. 6.553,- pr. måned</w:t>
      </w:r>
    </w:p>
    <w:p w:rsidR="00357749" w:rsidRDefault="00357749" w:rsidP="00357749">
      <w:pPr>
        <w:pStyle w:val="Overskrift2"/>
      </w:pPr>
      <w:bookmarkStart w:id="4" w:name="_Toc181095917"/>
      <w:r>
        <w:t>Opholds- og beskæftigelseskrav</w:t>
      </w:r>
      <w:bookmarkEnd w:id="4"/>
    </w:p>
    <w:p w:rsidR="00357749" w:rsidRPr="00E608BE" w:rsidRDefault="00357749" w:rsidP="00357749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lang w:eastAsia="da-DK"/>
        </w:rPr>
      </w:pPr>
      <w:r w:rsidRPr="00E608BE">
        <w:rPr>
          <w:rFonts w:eastAsia="Times New Roman" w:cstheme="minorHAnsi"/>
          <w:color w:val="000000"/>
          <w:lang w:eastAsia="da-DK"/>
        </w:rPr>
        <w:t xml:space="preserve">En person skal opfylde både opholds- og beskæftigelseskravet for at modtage en </w:t>
      </w:r>
      <w:r>
        <w:rPr>
          <w:rFonts w:eastAsia="Times New Roman" w:cstheme="minorHAnsi"/>
          <w:color w:val="000000"/>
          <w:lang w:eastAsia="da-DK"/>
        </w:rPr>
        <w:t>forhøjet</w:t>
      </w:r>
      <w:r w:rsidRPr="00E608BE">
        <w:rPr>
          <w:rFonts w:eastAsia="Times New Roman" w:cstheme="minorHAnsi"/>
          <w:color w:val="000000"/>
          <w:lang w:eastAsia="da-DK"/>
        </w:rPr>
        <w:t xml:space="preserve"> kontanthjælpssats:</w:t>
      </w:r>
    </w:p>
    <w:p w:rsidR="00357749" w:rsidRPr="00E608BE" w:rsidRDefault="00357749" w:rsidP="003577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da-DK"/>
        </w:rPr>
      </w:pPr>
      <w:r w:rsidRPr="00E608BE">
        <w:rPr>
          <w:rFonts w:eastAsia="Times New Roman" w:cstheme="minorHAnsi"/>
          <w:color w:val="000000"/>
          <w:lang w:eastAsia="da-DK"/>
        </w:rPr>
        <w:t>Beskæftigelseskravet betyder, at personen skal have det, der svarer til fuldtidsbeskæftigelse i 2,5 år inden for de seneste 10 år</w:t>
      </w:r>
      <w:r w:rsidR="001F70B6">
        <w:rPr>
          <w:rFonts w:eastAsia="Times New Roman" w:cstheme="minorHAnsi"/>
          <w:color w:val="000000"/>
          <w:lang w:eastAsia="da-DK"/>
        </w:rPr>
        <w:t xml:space="preserve"> (svarende til 4810 timer)</w:t>
      </w:r>
      <w:r w:rsidRPr="00E608BE">
        <w:rPr>
          <w:rFonts w:eastAsia="Times New Roman" w:cstheme="minorHAnsi"/>
          <w:color w:val="000000"/>
          <w:lang w:eastAsia="da-DK"/>
        </w:rPr>
        <w:t>. En person skal kun opfylde beskæftigelseskravet én gang. </w:t>
      </w:r>
    </w:p>
    <w:p w:rsidR="00357749" w:rsidRPr="00E608BE" w:rsidRDefault="00357749" w:rsidP="003577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da-DK"/>
        </w:rPr>
      </w:pPr>
      <w:r w:rsidRPr="00E608BE">
        <w:rPr>
          <w:rFonts w:eastAsia="Times New Roman" w:cstheme="minorHAnsi"/>
          <w:color w:val="000000"/>
          <w:lang w:eastAsia="da-DK"/>
        </w:rPr>
        <w:t>Opholdskravet betyder, at personen skal have opholdt sig i riget i 9 år inden for de seneste 10 år. Opholdskravet skal løbende være opfyldt.</w:t>
      </w:r>
    </w:p>
    <w:p w:rsidR="00357749" w:rsidRPr="00E608BE" w:rsidRDefault="00357749" w:rsidP="00357749">
      <w:r>
        <w:t>Beskæftigelseskravet gælder for personer, der er</w:t>
      </w:r>
    </w:p>
    <w:p w:rsidR="00357749" w:rsidRPr="00E608BE" w:rsidRDefault="00357749" w:rsidP="003577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f</w:t>
      </w:r>
      <w:r w:rsidRPr="00E608BE">
        <w:rPr>
          <w:rFonts w:eastAsia="Times New Roman" w:cstheme="minorHAnsi"/>
          <w:color w:val="000000"/>
          <w:lang w:eastAsia="da-DK"/>
        </w:rPr>
        <w:t>ørstegangsindrejst til landet fra 1968 og frem – uanset om de har modtaget kontanthjælp i en længere periode eller på ny ansøger om hjælp.</w:t>
      </w:r>
    </w:p>
    <w:p w:rsidR="00357749" w:rsidRDefault="00357749" w:rsidP="003577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i</w:t>
      </w:r>
      <w:r w:rsidRPr="00E608BE">
        <w:rPr>
          <w:rFonts w:eastAsia="Times New Roman" w:cstheme="minorHAnsi"/>
          <w:color w:val="000000"/>
          <w:lang w:eastAsia="da-DK"/>
        </w:rPr>
        <w:t>ndrejst fra udlandet fra 1968 efter udlandsophold i mere end 12 på hinanden følgende måneder – uanset om de har modtaget kontanthjælp i en længere periode eller på ny ansøger om hjælp.</w:t>
      </w:r>
    </w:p>
    <w:p w:rsidR="00357749" w:rsidRDefault="00357749" w:rsidP="00357749">
      <w:pPr>
        <w:pStyle w:val="Overskrift2"/>
      </w:pPr>
      <w:bookmarkStart w:id="5" w:name="_Toc181095918"/>
      <w:r>
        <w:t>Tillægsydelser</w:t>
      </w:r>
      <w:bookmarkEnd w:id="5"/>
    </w:p>
    <w:p w:rsidR="00357749" w:rsidRDefault="00357749" w:rsidP="00357749">
      <w:pPr>
        <w:pStyle w:val="Overskrift3"/>
      </w:pPr>
      <w:bookmarkStart w:id="6" w:name="_Toc181095919"/>
      <w:r>
        <w:t>Børnetillæg</w:t>
      </w:r>
      <w:bookmarkEnd w:id="6"/>
    </w:p>
    <w:p w:rsidR="00357749" w:rsidRDefault="00357749" w:rsidP="00357749">
      <w:r>
        <w:t>Der ydes et børnetillæg til begge forældre, hvis de modtager kontanthjælp, uanset satsniveau. Tillægget vil udgøre 2.687 kr. pr. måned.</w:t>
      </w:r>
    </w:p>
    <w:p w:rsidR="00357749" w:rsidRDefault="00357749" w:rsidP="00357749">
      <w:pPr>
        <w:pStyle w:val="Overskrift3"/>
      </w:pPr>
      <w:bookmarkStart w:id="7" w:name="_Toc181095920"/>
      <w:r>
        <w:t>Enlig forsørgertillæg</w:t>
      </w:r>
      <w:bookmarkEnd w:id="7"/>
    </w:p>
    <w:p w:rsidR="00357749" w:rsidRDefault="00357749" w:rsidP="00357749">
      <w:r>
        <w:t>Enlige forsørgere på den nye mindstesats eller grundsats vil</w:t>
      </w:r>
      <w:r w:rsidR="00330141">
        <w:t xml:space="preserve"> få</w:t>
      </w:r>
      <w:bookmarkStart w:id="8" w:name="_GoBack"/>
      <w:bookmarkEnd w:id="8"/>
      <w:r>
        <w:t xml:space="preserve"> et ekstra tillæg på 1.581 kr. pr. måned ud over børnetillægget. </w:t>
      </w:r>
    </w:p>
    <w:p w:rsidR="00357749" w:rsidRDefault="00357749" w:rsidP="00357749">
      <w:pPr>
        <w:pStyle w:val="Overskrift3"/>
      </w:pPr>
      <w:bookmarkStart w:id="9" w:name="_Toc181095921"/>
      <w:r>
        <w:t>Tillæg til enlige uden børn</w:t>
      </w:r>
      <w:bookmarkEnd w:id="9"/>
    </w:p>
    <w:p w:rsidR="00357749" w:rsidRPr="00C16DF6" w:rsidRDefault="00357749" w:rsidP="00357749">
      <w:r>
        <w:t>Enlige ikke-forsørgere på grundsats og den ny</w:t>
      </w:r>
      <w:r w:rsidRPr="00C16DF6">
        <w:t>e forhøjede sats får et tillæg på 1.054 kr. pr. måned.</w:t>
      </w:r>
    </w:p>
    <w:p w:rsidR="00C16DF6" w:rsidRPr="00C16DF6" w:rsidRDefault="00357749" w:rsidP="00C16DF6">
      <w:pPr>
        <w:pStyle w:val="Overskrift3"/>
      </w:pPr>
      <w:bookmarkStart w:id="10" w:name="_Toc181095922"/>
      <w:r w:rsidRPr="00C16DF6">
        <w:t>Særligt ungetillæ</w:t>
      </w:r>
      <w:bookmarkEnd w:id="10"/>
      <w:r w:rsidR="00C16DF6" w:rsidRPr="00C16DF6">
        <w:t>g</w:t>
      </w:r>
    </w:p>
    <w:p w:rsidR="00C16DF6" w:rsidRDefault="00C16DF6" w:rsidP="00C16DF6">
      <w:bookmarkStart w:id="11" w:name="_Hlk181176791"/>
      <w:r w:rsidRPr="00C16DF6">
        <w:t>Tillæg til unge med udfordringer udover ledighed, som ikke vurderes at kunne komme i arbejde eller uddannelse inden for en overskuelig periode.</w:t>
      </w:r>
    </w:p>
    <w:p w:rsidR="00C16DF6" w:rsidRDefault="009627A8" w:rsidP="009627A8">
      <w:pPr>
        <w:pStyle w:val="Listeafsnit"/>
        <w:numPr>
          <w:ilvl w:val="0"/>
          <w:numId w:val="6"/>
        </w:numPr>
      </w:pPr>
      <w:r>
        <w:t xml:space="preserve">Kr. 1000,- pr. måned til 18 – 24-årige </w:t>
      </w:r>
    </w:p>
    <w:p w:rsidR="009627A8" w:rsidRDefault="009627A8" w:rsidP="009627A8">
      <w:pPr>
        <w:pStyle w:val="Listeafsnit"/>
        <w:numPr>
          <w:ilvl w:val="0"/>
          <w:numId w:val="6"/>
        </w:numPr>
      </w:pPr>
      <w:r>
        <w:t>Kr. 2500,- pr. måned til 18 – 24-årige forsørgere</w:t>
      </w:r>
    </w:p>
    <w:p w:rsidR="009627A8" w:rsidRPr="00C16DF6" w:rsidRDefault="009627A8" w:rsidP="009627A8">
      <w:pPr>
        <w:pStyle w:val="Listeafsnit"/>
        <w:numPr>
          <w:ilvl w:val="0"/>
          <w:numId w:val="6"/>
        </w:numPr>
      </w:pPr>
      <w:r>
        <w:t xml:space="preserve">Kr. 2500,- pr. måned til 25 – 29-årige uanset forsørger status </w:t>
      </w:r>
    </w:p>
    <w:p w:rsidR="00357749" w:rsidRDefault="00357749" w:rsidP="00357749">
      <w:pPr>
        <w:pStyle w:val="Overskrift3"/>
      </w:pPr>
      <w:bookmarkStart w:id="12" w:name="_Toc181095923"/>
      <w:bookmarkEnd w:id="11"/>
      <w:r>
        <w:t>Fritidstillæg</w:t>
      </w:r>
      <w:bookmarkEnd w:id="12"/>
    </w:p>
    <w:p w:rsidR="00357749" w:rsidRPr="00A85425" w:rsidRDefault="00357749" w:rsidP="000E1094">
      <w:r>
        <w:rPr>
          <w:bCs/>
        </w:rPr>
        <w:t>Fritidst</w:t>
      </w:r>
      <w:r w:rsidRPr="00A85425">
        <w:rPr>
          <w:bCs/>
        </w:rPr>
        <w:t>illæg</w:t>
      </w:r>
      <w:r>
        <w:rPr>
          <w:bCs/>
        </w:rPr>
        <w:t>get er</w:t>
      </w:r>
      <w:r w:rsidRPr="00A85425">
        <w:rPr>
          <w:bCs/>
        </w:rPr>
        <w:t xml:space="preserve"> målrettet </w:t>
      </w:r>
      <w:r>
        <w:rPr>
          <w:bCs/>
        </w:rPr>
        <w:t xml:space="preserve">en kontanthjælpsmodtagers </w:t>
      </w:r>
      <w:r w:rsidRPr="00A85425">
        <w:rPr>
          <w:bCs/>
        </w:rPr>
        <w:t xml:space="preserve">barns kultur- og fritidsliv på 450 kr. pr. </w:t>
      </w:r>
      <w:r w:rsidRPr="000E1094">
        <w:rPr>
          <w:bCs/>
        </w:rPr>
        <w:t>barn (</w:t>
      </w:r>
      <w:r w:rsidR="000E1094" w:rsidRPr="000E1094">
        <w:rPr>
          <w:bCs/>
        </w:rPr>
        <w:t xml:space="preserve">dog kun </w:t>
      </w:r>
      <w:r w:rsidRPr="000E1094">
        <w:rPr>
          <w:bCs/>
        </w:rPr>
        <w:t>1/4 til enlige forsørgere) og kan maks. ydes til 3 børn.</w:t>
      </w:r>
    </w:p>
    <w:p w:rsidR="00357749" w:rsidRPr="00A85425" w:rsidRDefault="00357749" w:rsidP="00357749">
      <w:r w:rsidRPr="00A85425">
        <w:rPr>
          <w:bCs/>
        </w:rPr>
        <w:lastRenderedPageBreak/>
        <w:t>Retten til fritidstillæg</w:t>
      </w:r>
      <w:r>
        <w:rPr>
          <w:bCs/>
        </w:rPr>
        <w:t>get</w:t>
      </w:r>
      <w:r w:rsidRPr="00A85425">
        <w:rPr>
          <w:bCs/>
        </w:rPr>
        <w:t xml:space="preserve"> indtræder </w:t>
      </w:r>
      <w:r w:rsidRPr="00A85425">
        <w:t xml:space="preserve">efter 3 måneder i kontanthjælpssystemet og består 3 måneder efter, at personen er overgået til beskæftigelse. </w:t>
      </w:r>
    </w:p>
    <w:p w:rsidR="00357749" w:rsidRPr="00A85425" w:rsidRDefault="00357749" w:rsidP="00357749">
      <w:r w:rsidRPr="00E615B8">
        <w:rPr>
          <w:bCs/>
        </w:rPr>
        <w:t>Dokumentation til kommunen</w:t>
      </w:r>
      <w:r w:rsidRPr="00A85425">
        <w:rPr>
          <w:b/>
          <w:bCs/>
        </w:rPr>
        <w:t xml:space="preserve"> </w:t>
      </w:r>
      <w:r w:rsidRPr="00A85425">
        <w:t>skal ske hver 3. måned for 1/3 af tillægget. De øvrige 2/3 af tillægget kan borgeren bruge på f.eks. loppemarkeder eller på andre indkøb andre steder, hvor det ikke er muligt at få udstedt en kvittering</w:t>
      </w:r>
    </w:p>
    <w:p w:rsidR="00357749" w:rsidRDefault="00357749" w:rsidP="00357749">
      <w:pPr>
        <w:pStyle w:val="Overskrift3"/>
      </w:pPr>
      <w:bookmarkStart w:id="13" w:name="_Toc181095924"/>
      <w:r>
        <w:t>Tilpasningstillæg (midlertidigt i 2 år)</w:t>
      </w:r>
      <w:bookmarkEnd w:id="13"/>
    </w:p>
    <w:p w:rsidR="00357749" w:rsidRDefault="00357749" w:rsidP="00357749">
      <w:r w:rsidRPr="005155C7">
        <w:rPr>
          <w:bCs/>
        </w:rPr>
        <w:t>Målgruppen for tilpasningstillægget</w:t>
      </w:r>
      <w:r w:rsidRPr="004639EC">
        <w:t xml:space="preserve"> omfatter personer under 30 år, der går 2.000 kr. eller mere ned i samlet hjælp fra juni 2025 til juli 2025 og som modtager grundsats eller satsen for hjemmeboende efter de nye regler er trådt i kraft. </w:t>
      </w:r>
    </w:p>
    <w:p w:rsidR="00357749" w:rsidRPr="004639EC" w:rsidRDefault="00357749" w:rsidP="00357749">
      <w:r w:rsidRPr="004639EC">
        <w:t xml:space="preserve">Målgruppen omfatter personer på følgende satsindplaceringer efter gældende regler: </w:t>
      </w:r>
    </w:p>
    <w:p w:rsidR="00357749" w:rsidRPr="004639EC" w:rsidRDefault="00357749" w:rsidP="00357749">
      <w:pPr>
        <w:pStyle w:val="Listeafsnit"/>
        <w:numPr>
          <w:ilvl w:val="0"/>
          <w:numId w:val="1"/>
        </w:numPr>
      </w:pPr>
      <w:r w:rsidRPr="004639EC">
        <w:t>forsørgere under 30 år, der er aktivitetsparate og modtager et aktivitetstillæg (omfatter både enlige og samlevende)</w:t>
      </w:r>
    </w:p>
    <w:p w:rsidR="00357749" w:rsidRPr="004639EC" w:rsidRDefault="00357749" w:rsidP="00357749">
      <w:pPr>
        <w:pStyle w:val="Listeafsnit"/>
        <w:numPr>
          <w:ilvl w:val="0"/>
          <w:numId w:val="1"/>
        </w:numPr>
      </w:pPr>
      <w:r w:rsidRPr="004639EC">
        <w:t>udeboende ikke-forsørgere, der er fyldt 25 år, der er aktivitetsparate og modtager aktivitetstillæg (omfatter samlevende ikke-forsørgere)</w:t>
      </w:r>
    </w:p>
    <w:p w:rsidR="00357749" w:rsidRPr="004639EC" w:rsidRDefault="00357749" w:rsidP="00357749">
      <w:pPr>
        <w:pStyle w:val="Listeafsnit"/>
        <w:numPr>
          <w:ilvl w:val="0"/>
          <w:numId w:val="1"/>
        </w:numPr>
      </w:pPr>
      <w:r w:rsidRPr="004639EC">
        <w:t xml:space="preserve">hjemmeboende, der er fyldt 25 år, der er aktivitetsparate og modtager aktivitetstillæg </w:t>
      </w:r>
    </w:p>
    <w:p w:rsidR="00357749" w:rsidRDefault="00357749" w:rsidP="00357749">
      <w:pPr>
        <w:pStyle w:val="Listeafsnit"/>
        <w:numPr>
          <w:ilvl w:val="0"/>
          <w:numId w:val="1"/>
        </w:numPr>
      </w:pPr>
      <w:r w:rsidRPr="004639EC">
        <w:t>personer under 30 år, der modtager den højere sats for bestemte psykiske lidelser (undtagen personer der modtager den højere sats for bestemte psykiske lidelser som udeboende dvs. enlige ikke-forsørgere og som samtidig modtager det høje særlige ungetillæg dvs. er over 25 år)</w:t>
      </w:r>
    </w:p>
    <w:p w:rsidR="00357749" w:rsidRDefault="00357749" w:rsidP="00357749">
      <w:pPr>
        <w:pStyle w:val="Listeafsnit"/>
      </w:pPr>
    </w:p>
    <w:p w:rsidR="00357749" w:rsidRDefault="00357749" w:rsidP="00357749">
      <w:pPr>
        <w:pStyle w:val="Listeafsnit"/>
        <w:ind w:left="0"/>
      </w:pPr>
      <w:r w:rsidRPr="005155C7">
        <w:rPr>
          <w:bCs/>
        </w:rPr>
        <w:t>Tilpasningstillægget ophører efter 2 år</w:t>
      </w:r>
      <w:r w:rsidRPr="005155C7">
        <w:t xml:space="preserve">. Det udbetales for sidste gang for juni 2027 og bortfalder helt derefter. </w:t>
      </w:r>
    </w:p>
    <w:p w:rsidR="00357749" w:rsidRDefault="00357749" w:rsidP="00357749">
      <w:pPr>
        <w:pStyle w:val="Listeafsnit"/>
        <w:ind w:left="0"/>
        <w:rPr>
          <w:b/>
          <w:bCs/>
        </w:rPr>
      </w:pPr>
    </w:p>
    <w:p w:rsidR="00357749" w:rsidRPr="005155C7" w:rsidRDefault="00357749" w:rsidP="00357749">
      <w:pPr>
        <w:pStyle w:val="Listeafsnit"/>
        <w:ind w:left="0"/>
      </w:pPr>
      <w:r w:rsidRPr="005155C7">
        <w:rPr>
          <w:bCs/>
        </w:rPr>
        <w:t>Ved genindtræden i den 2</w:t>
      </w:r>
      <w:r>
        <w:rPr>
          <w:bCs/>
        </w:rPr>
        <w:t>-</w:t>
      </w:r>
      <w:r w:rsidRPr="005155C7">
        <w:rPr>
          <w:bCs/>
        </w:rPr>
        <w:t xml:space="preserve">årige virkningsperiode </w:t>
      </w:r>
      <w:r w:rsidRPr="005155C7">
        <w:t xml:space="preserve">vil personer, der har fået ret til et tilpasningstillæg i juli 2025, fortsat have ret til tillægget. </w:t>
      </w:r>
    </w:p>
    <w:p w:rsidR="00357749" w:rsidRDefault="00357749" w:rsidP="00357749">
      <w:pPr>
        <w:pStyle w:val="Overskrift2"/>
      </w:pPr>
      <w:bookmarkStart w:id="14" w:name="_Toc181095925"/>
      <w:r>
        <w:t>Fradrag ved indkomst</w:t>
      </w:r>
      <w:bookmarkEnd w:id="14"/>
    </w:p>
    <w:p w:rsidR="00357749" w:rsidRDefault="00357749" w:rsidP="00357749">
      <w:pPr>
        <w:rPr>
          <w:rStyle w:val="Overskrift3Tegn"/>
        </w:rPr>
      </w:pPr>
      <w:bookmarkStart w:id="15" w:name="_Toc181095926"/>
      <w:r w:rsidRPr="00D92A46">
        <w:rPr>
          <w:rStyle w:val="Overskrift3Tegn"/>
        </w:rPr>
        <w:t>Personer på forhøjet sats</w:t>
      </w:r>
      <w:bookmarkEnd w:id="15"/>
      <w:r w:rsidRPr="00D92A46">
        <w:rPr>
          <w:rStyle w:val="Overskrift3Tegn"/>
        </w:rPr>
        <w:t xml:space="preserve"> </w:t>
      </w:r>
    </w:p>
    <w:p w:rsidR="00357749" w:rsidRPr="00D92A46" w:rsidRDefault="00357749" w:rsidP="00357749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t xml:space="preserve">Personer, der modtager kontanthjælp på forhøjet sats </w:t>
      </w:r>
      <w:r w:rsidRPr="00D92A46">
        <w:t>får et fribeløb på 2.500 kr. om måneden</w:t>
      </w:r>
      <w:r w:rsidRPr="00D92A46">
        <w:br/>
        <w:t>Når fribeløbet er brugt ses der bort fra 35 pct. af den resterende arbejdsindkomst.</w:t>
      </w:r>
      <w:r w:rsidRPr="00D92A46">
        <w:rPr>
          <w:i/>
          <w:iCs/>
        </w:rPr>
        <w:t xml:space="preserve"> </w:t>
      </w:r>
      <w:r w:rsidRPr="00D92A46">
        <w:t xml:space="preserve">Når arbejdsindkomst og kontanthjælp efter fradrag udgør 100 pct. af den maksimale dagpengesats (20.359 kr.), vil arbejdsindkomsten blive fratrukket krone for krone i kontanthjælpen. </w:t>
      </w:r>
    </w:p>
    <w:p w:rsidR="00357749" w:rsidRPr="00D92A46" w:rsidRDefault="00357749" w:rsidP="00357749">
      <w:pPr>
        <w:pStyle w:val="Overskrift3"/>
      </w:pPr>
      <w:bookmarkStart w:id="16" w:name="_Toc181095927"/>
      <w:r w:rsidRPr="00D92A46">
        <w:t>Per</w:t>
      </w:r>
      <w:r>
        <w:t>s</w:t>
      </w:r>
      <w:r w:rsidRPr="00D92A46">
        <w:t>oner på mindstesats og grundsats</w:t>
      </w:r>
      <w:bookmarkEnd w:id="16"/>
    </w:p>
    <w:p w:rsidR="00357749" w:rsidRPr="00D92A46" w:rsidRDefault="00357749" w:rsidP="00357749">
      <w:r>
        <w:rPr>
          <w:bCs/>
        </w:rPr>
        <w:t xml:space="preserve">Personer, der modtager kontanthjælp på </w:t>
      </w:r>
      <w:r w:rsidRPr="00D92A46">
        <w:rPr>
          <w:bCs/>
          <w:iCs/>
        </w:rPr>
        <w:t>mindstesats og grundsats</w:t>
      </w:r>
      <w:r w:rsidRPr="00D92A46">
        <w:rPr>
          <w:bCs/>
          <w:i/>
          <w:iCs/>
        </w:rPr>
        <w:t xml:space="preserve"> </w:t>
      </w:r>
      <w:r w:rsidRPr="00D92A46">
        <w:rPr>
          <w:bCs/>
        </w:rPr>
        <w:t>får et fribeløb på 5.000 kr. om måneden</w:t>
      </w:r>
      <w:r w:rsidRPr="00D92A46">
        <w:t xml:space="preserve">. </w:t>
      </w:r>
      <w:r w:rsidRPr="00D92A46">
        <w:br/>
        <w:t>Når fribeløbet er brugt ses der bort fra 35 pct. af den resterende arbejdsindkomst.</w:t>
      </w:r>
      <w:r w:rsidRPr="00D92A46">
        <w:rPr>
          <w:i/>
          <w:iCs/>
        </w:rPr>
        <w:t xml:space="preserve"> </w:t>
      </w:r>
      <w:r w:rsidRPr="00D92A46">
        <w:t>Når arbejdsindkomst og kontanthjælp efter fradrag udgør 85 pct. af den maksimale dagpengesats (17.305 kr.), vil arbejdsindkomsten blive fratrukket krone for krone i kontanthjælpen</w:t>
      </w:r>
    </w:p>
    <w:p w:rsidR="00357749" w:rsidRPr="00D92A46" w:rsidRDefault="00357749" w:rsidP="00357749">
      <w:pPr>
        <w:pStyle w:val="Overskrift3"/>
      </w:pPr>
      <w:bookmarkStart w:id="17" w:name="_Toc181095928"/>
      <w:r w:rsidRPr="00D92A46">
        <w:t>Indtægter fra det sociale frikort</w:t>
      </w:r>
      <w:bookmarkEnd w:id="17"/>
      <w:r w:rsidRPr="00D92A46">
        <w:t xml:space="preserve"> </w:t>
      </w:r>
    </w:p>
    <w:p w:rsidR="00357749" w:rsidRPr="00D92A46" w:rsidRDefault="00357749" w:rsidP="00357749">
      <w:r>
        <w:t xml:space="preserve">Indtægter fra det sociale frikort </w:t>
      </w:r>
      <w:r w:rsidRPr="00D92A46">
        <w:t xml:space="preserve">fradrages ikke i kontanthjælpen. </w:t>
      </w:r>
    </w:p>
    <w:p w:rsidR="00357749" w:rsidRPr="009E4DDB" w:rsidRDefault="00357749" w:rsidP="00357749">
      <w:pPr>
        <w:pStyle w:val="Overskrift2"/>
      </w:pPr>
      <w:bookmarkStart w:id="18" w:name="_Toc181095929"/>
      <w:r>
        <w:t>Medicintilskud</w:t>
      </w:r>
      <w:bookmarkEnd w:id="18"/>
    </w:p>
    <w:p w:rsidR="00357749" w:rsidRDefault="00357749" w:rsidP="00357749">
      <w:pPr>
        <w:rPr>
          <w:bCs/>
        </w:rPr>
      </w:pPr>
      <w:r>
        <w:rPr>
          <w:bCs/>
        </w:rPr>
        <w:t xml:space="preserve">Medicintilskuddet gives til </w:t>
      </w:r>
    </w:p>
    <w:p w:rsidR="00357749" w:rsidRDefault="00357749" w:rsidP="00357749">
      <w:pPr>
        <w:pStyle w:val="Listeafsnit"/>
        <w:numPr>
          <w:ilvl w:val="0"/>
          <w:numId w:val="2"/>
        </w:numPr>
        <w:rPr>
          <w:bCs/>
        </w:rPr>
      </w:pPr>
      <w:r w:rsidRPr="009E4DDB">
        <w:rPr>
          <w:bCs/>
        </w:rPr>
        <w:t>personer, der har modtaget kontanthjælp i mindst 12 måneder ud af de seneste 18 måneder</w:t>
      </w:r>
    </w:p>
    <w:p w:rsidR="00357749" w:rsidRPr="009E4DDB" w:rsidRDefault="00357749" w:rsidP="00357749">
      <w:pPr>
        <w:pStyle w:val="Listeafsnit"/>
        <w:numPr>
          <w:ilvl w:val="0"/>
          <w:numId w:val="2"/>
        </w:numPr>
        <w:rPr>
          <w:bCs/>
        </w:rPr>
      </w:pPr>
      <w:r>
        <w:rPr>
          <w:bCs/>
        </w:rPr>
        <w:t>børn af forældre, der modtager kontanthjælp fra første dag, forælderen er berettiget til kontanthjælp</w:t>
      </w:r>
    </w:p>
    <w:p w:rsidR="00357749" w:rsidRPr="005155C7" w:rsidRDefault="00357749" w:rsidP="00357749">
      <w:r w:rsidRPr="009E4DDB">
        <w:rPr>
          <w:bCs/>
        </w:rPr>
        <w:t>Medicintilskudde</w:t>
      </w:r>
      <w:r>
        <w:rPr>
          <w:bCs/>
        </w:rPr>
        <w:t xml:space="preserve">t </w:t>
      </w:r>
      <w:r w:rsidRPr="009E4DDB">
        <w:rPr>
          <w:bCs/>
        </w:rPr>
        <w:t xml:space="preserve">dækker </w:t>
      </w:r>
      <w:r w:rsidRPr="009E4DDB">
        <w:t>100</w:t>
      </w:r>
      <w:r>
        <w:t>%</w:t>
      </w:r>
      <w:r w:rsidRPr="005155C7">
        <w:t xml:space="preserve"> af egenbetalingen ved køb af tilskudsberettiget medicin, vil blive dækket.</w:t>
      </w:r>
    </w:p>
    <w:p w:rsidR="00357749" w:rsidRDefault="00357749" w:rsidP="00357749">
      <w:r w:rsidRPr="009E4DDB">
        <w:rPr>
          <w:bCs/>
        </w:rPr>
        <w:t>Borgeren skal ikke selv ansøge om at modtage hjælp til medicin</w:t>
      </w:r>
      <w:r w:rsidRPr="009E4DDB">
        <w:t>.</w:t>
      </w:r>
      <w:r w:rsidRPr="005155C7">
        <w:t xml:space="preserve"> Hjælpen ydes direkte på apoteket</w:t>
      </w:r>
      <w:r>
        <w:t xml:space="preserve"> og borgeren skal derfor ikke selv lægge pengene ud for medicinen.</w:t>
      </w:r>
    </w:p>
    <w:p w:rsidR="00357749" w:rsidRDefault="00357749" w:rsidP="00357749"/>
    <w:p w:rsidR="00230EA7" w:rsidRDefault="00230EA7"/>
    <w:sectPr w:rsidR="00230EA7" w:rsidSect="009627A8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3F5" w:rsidRDefault="000173F5" w:rsidP="000E2F3A">
      <w:pPr>
        <w:spacing w:after="0" w:line="240" w:lineRule="auto"/>
      </w:pPr>
      <w:r>
        <w:separator/>
      </w:r>
    </w:p>
  </w:endnote>
  <w:endnote w:type="continuationSeparator" w:id="0">
    <w:p w:rsidR="000173F5" w:rsidRDefault="000173F5" w:rsidP="000E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3F5" w:rsidRDefault="000173F5" w:rsidP="000E2F3A">
      <w:pPr>
        <w:spacing w:after="0" w:line="240" w:lineRule="auto"/>
      </w:pPr>
      <w:r>
        <w:separator/>
      </w:r>
    </w:p>
  </w:footnote>
  <w:footnote w:type="continuationSeparator" w:id="0">
    <w:p w:rsidR="000173F5" w:rsidRDefault="000173F5" w:rsidP="000E2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3E9F"/>
    <w:multiLevelType w:val="hybridMultilevel"/>
    <w:tmpl w:val="4A40F0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3607"/>
    <w:multiLevelType w:val="hybridMultilevel"/>
    <w:tmpl w:val="E9B08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2FE5"/>
    <w:multiLevelType w:val="multilevel"/>
    <w:tmpl w:val="1B3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3E77DA"/>
    <w:multiLevelType w:val="multilevel"/>
    <w:tmpl w:val="73C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620CE3"/>
    <w:multiLevelType w:val="hybridMultilevel"/>
    <w:tmpl w:val="0C3251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E5F85"/>
    <w:multiLevelType w:val="hybridMultilevel"/>
    <w:tmpl w:val="18A608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49"/>
    <w:rsid w:val="000173F5"/>
    <w:rsid w:val="000A231F"/>
    <w:rsid w:val="000E1094"/>
    <w:rsid w:val="000E2F3A"/>
    <w:rsid w:val="001F70B6"/>
    <w:rsid w:val="00230EA7"/>
    <w:rsid w:val="00330141"/>
    <w:rsid w:val="00357749"/>
    <w:rsid w:val="004C3464"/>
    <w:rsid w:val="00532220"/>
    <w:rsid w:val="009627A8"/>
    <w:rsid w:val="00BD2472"/>
    <w:rsid w:val="00BF75CC"/>
    <w:rsid w:val="00C1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2BD26"/>
  <w15:chartTrackingRefBased/>
  <w15:docId w15:val="{96A9B298-54DA-4DE0-A09E-5DCC67DB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749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57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357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357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38135" w:themeColor="accent6" w:themeShade="B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7749"/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7749"/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7749"/>
    <w:rPr>
      <w:rFonts w:asciiTheme="majorHAnsi" w:eastAsiaTheme="majorEastAsia" w:hAnsiTheme="majorHAnsi" w:cstheme="majorBidi"/>
      <w:b/>
      <w:color w:val="538135" w:themeColor="accent6" w:themeShade="BF"/>
      <w:sz w:val="24"/>
      <w:szCs w:val="24"/>
    </w:rPr>
  </w:style>
  <w:style w:type="paragraph" w:styleId="Listeafsnit">
    <w:name w:val="List Paragraph"/>
    <w:basedOn w:val="Normal"/>
    <w:uiPriority w:val="34"/>
    <w:qFormat/>
    <w:rsid w:val="0035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766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Fricke</dc:creator>
  <cp:keywords/>
  <dc:description/>
  <cp:lastModifiedBy>Pernille Fricke</cp:lastModifiedBy>
  <cp:revision>4</cp:revision>
  <dcterms:created xsi:type="dcterms:W3CDTF">2024-10-29T11:18:00Z</dcterms:created>
  <dcterms:modified xsi:type="dcterms:W3CDTF">2025-01-06T12:43:00Z</dcterms:modified>
</cp:coreProperties>
</file>